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3666358"/>
      <w:bookmarkStart w:id="1" w:name="_Toc482717189"/>
      <w:bookmarkStart w:id="2" w:name="_Toc483400307"/>
      <w:bookmarkStart w:id="3" w:name="_Toc483227223"/>
      <w:bookmarkStart w:id="4" w:name="_Toc484532399"/>
    </w:p>
    <w:p>
      <w:pPr>
        <w:spacing w:afterLines="50"/>
        <w:jc w:val="center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质量控制室</w:t>
      </w:r>
      <w:r>
        <w:rPr>
          <w:rFonts w:hint="eastAsia"/>
          <w:b/>
          <w:sz w:val="28"/>
          <w:szCs w:val="28"/>
          <w:lang w:val="en-US" w:eastAsia="zh-CN"/>
        </w:rPr>
        <w:t>微波消解炉</w:t>
      </w:r>
      <w:r>
        <w:rPr>
          <w:b/>
          <w:sz w:val="28"/>
          <w:szCs w:val="28"/>
          <w:lang w:eastAsia="zh-CN"/>
        </w:rPr>
        <w:t>用户需求说明（URS</w:t>
      </w:r>
      <w:bookmarkEnd w:id="0"/>
      <w:bookmarkEnd w:id="1"/>
      <w:bookmarkEnd w:id="2"/>
      <w:bookmarkEnd w:id="3"/>
      <w:bookmarkEnd w:id="4"/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spacing w:afterLines="50"/>
        <w:rPr>
          <w:b/>
          <w:szCs w:val="21"/>
          <w:lang w:eastAsia="zh-CN"/>
        </w:rPr>
      </w:pPr>
    </w:p>
    <w:p>
      <w:pPr>
        <w:spacing w:afterLines="50"/>
        <w:rPr>
          <w:b/>
          <w:szCs w:val="21"/>
          <w:lang w:eastAsia="zh-CN"/>
        </w:rPr>
      </w:pPr>
    </w:p>
    <w:p>
      <w:pPr>
        <w:spacing w:afterLines="50"/>
        <w:rPr>
          <w:b/>
          <w:szCs w:val="21"/>
          <w:lang w:eastAsia="zh-CN"/>
        </w:rPr>
      </w:pPr>
    </w:p>
    <w:p>
      <w:pPr>
        <w:spacing w:afterLines="50"/>
        <w:rPr>
          <w:b/>
          <w:szCs w:val="21"/>
          <w:lang w:eastAsia="zh-CN"/>
        </w:rPr>
      </w:pPr>
    </w:p>
    <w:p>
      <w:pPr>
        <w:pStyle w:val="33"/>
        <w:keepNext w:val="0"/>
        <w:keepLines w:val="0"/>
        <w:widowControl w:val="0"/>
        <w:spacing w:afterLines="50" w:line="240" w:lineRule="auto"/>
        <w:rPr>
          <w:sz w:val="21"/>
          <w:szCs w:val="21"/>
          <w:lang w:eastAsia="zh-CN"/>
        </w:rPr>
      </w:pPr>
    </w:p>
    <w:p>
      <w:pPr>
        <w:pStyle w:val="33"/>
        <w:keepNext w:val="0"/>
        <w:keepLines w:val="0"/>
        <w:widowControl w:val="0"/>
        <w:spacing w:afterLines="50" w:line="240" w:lineRule="auto"/>
        <w:jc w:val="center"/>
        <w:rPr>
          <w:sz w:val="21"/>
          <w:szCs w:val="21"/>
          <w:lang w:val="zh-CN" w:eastAsia="zh-CN"/>
        </w:rPr>
      </w:pPr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5"/>
        <w:rPr>
          <w:b w:val="0"/>
          <w:bCs w:val="0"/>
          <w:caps w:val="0"/>
          <w:szCs w:val="22"/>
        </w:rPr>
      </w:pPr>
      <w:permStart w:id="0" w:edGrp="everyone"/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 HYPERLINK \l "_Toc522716114" </w:instrText>
      </w:r>
      <w:r>
        <w:fldChar w:fldCharType="separate"/>
      </w:r>
      <w:r>
        <w:rPr>
          <w:rStyle w:val="23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"_Toc522716115" </w:instrText>
      </w:r>
      <w:r>
        <w:fldChar w:fldCharType="separate"/>
      </w:r>
      <w:r>
        <w:rPr>
          <w:rStyle w:val="23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"_Toc522716116" </w:instrText>
      </w:r>
      <w:r>
        <w:fldChar w:fldCharType="separate"/>
      </w:r>
      <w:r>
        <w:rPr>
          <w:rStyle w:val="23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"_Toc522716117" </w:instrText>
      </w:r>
      <w:r>
        <w:fldChar w:fldCharType="separate"/>
      </w:r>
      <w:r>
        <w:rPr>
          <w:rStyle w:val="23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"_Toc522716118" </w:instrText>
      </w:r>
      <w:r>
        <w:fldChar w:fldCharType="separate"/>
      </w:r>
      <w:r>
        <w:rPr>
          <w:rStyle w:val="23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"_Toc522716119" </w:instrText>
      </w:r>
      <w:r>
        <w:fldChar w:fldCharType="separate"/>
      </w:r>
      <w:r>
        <w:rPr>
          <w:rStyle w:val="23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"_Toc522716120" </w:instrText>
      </w:r>
      <w:r>
        <w:fldChar w:fldCharType="separate"/>
      </w:r>
      <w:r>
        <w:rPr>
          <w:rStyle w:val="23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"_Toc522716121" </w:instrText>
      </w:r>
      <w:r>
        <w:fldChar w:fldCharType="separate"/>
      </w:r>
      <w:r>
        <w:rPr>
          <w:rStyle w:val="23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"_Toc522716122" </w:instrText>
      </w:r>
      <w:r>
        <w:fldChar w:fldCharType="separate"/>
      </w:r>
      <w:r>
        <w:rPr>
          <w:rStyle w:val="23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"_Toc522716123" </w:instrText>
      </w:r>
      <w:r>
        <w:fldChar w:fldCharType="separate"/>
      </w:r>
      <w:r>
        <w:rPr>
          <w:rStyle w:val="23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"_Toc522716124" </w:instrText>
      </w:r>
      <w:r>
        <w:fldChar w:fldCharType="separate"/>
      </w:r>
      <w:r>
        <w:rPr>
          <w:rStyle w:val="23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"_Toc522716125" </w:instrText>
      </w:r>
      <w:r>
        <w:fldChar w:fldCharType="separate"/>
      </w:r>
      <w:r>
        <w:rPr>
          <w:rStyle w:val="23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"_Toc522716126" </w:instrText>
      </w:r>
      <w:r>
        <w:fldChar w:fldCharType="separate"/>
      </w:r>
      <w:r>
        <w:rPr>
          <w:rStyle w:val="23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  <w:permEnd w:id="0"/>
    </w:p>
    <w:p>
      <w:pPr>
        <w:rPr>
          <w:b/>
          <w:bCs/>
          <w:caps/>
          <w:kern w:val="2"/>
          <w:szCs w:val="21"/>
          <w:lang w:eastAsia="zh-CN"/>
        </w:rPr>
      </w:pPr>
      <w:r>
        <w:rPr>
          <w:b/>
          <w:bCs/>
          <w:caps/>
          <w:kern w:val="2"/>
          <w:szCs w:val="21"/>
          <w:lang w:eastAsia="zh-CN"/>
        </w:rPr>
        <w:br w:type="page"/>
      </w: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5" w:name="_Toc522716115"/>
      <w:bookmarkStart w:id="6" w:name="_Toc522107735"/>
      <w:r>
        <w:rPr>
          <w:rFonts w:ascii="Times New Roman" w:hAnsi="Times New Roman"/>
          <w:b/>
        </w:rPr>
        <w:t>目的</w:t>
      </w:r>
      <w:bookmarkEnd w:id="5"/>
      <w:bookmarkEnd w:id="6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  <w:bookmarkStart w:id="7" w:name="_Toc482370061"/>
      <w:bookmarkStart w:id="8" w:name="_Toc481702475"/>
      <w:bookmarkStart w:id="9" w:name="_Toc482369805"/>
      <w:bookmarkStart w:id="10" w:name="_Toc482370349"/>
      <w:bookmarkStart w:id="11" w:name="_Toc482370141"/>
      <w:bookmarkStart w:id="12" w:name="_Toc482359936"/>
      <w:bookmarkStart w:id="13" w:name="_Toc482360281"/>
      <w:bookmarkStart w:id="14" w:name="_Toc482370757"/>
      <w:bookmarkStart w:id="15" w:name="_Toc482625279"/>
      <w:r>
        <w:rPr>
          <w:szCs w:val="21"/>
          <w:lang w:eastAsia="zh-CN"/>
        </w:rPr>
        <w:t>本文件的目的是描述武汉生物制品研究所有限责任公司</w:t>
      </w:r>
      <w:permStart w:id="1" w:edGrp="everyone"/>
      <w:r>
        <w:rPr>
          <w:rFonts w:hint="eastAsia"/>
          <w:szCs w:val="21"/>
          <w:lang w:val="en-US" w:eastAsia="zh-CN"/>
        </w:rPr>
        <w:t>质量控制室</w:t>
      </w:r>
      <w:r>
        <w:rPr>
          <w:rFonts w:hint="eastAsia"/>
          <w:sz w:val="22"/>
          <w:lang w:eastAsia="zh-CN"/>
        </w:rPr>
        <w:t>微波消解炉</w:t>
      </w:r>
      <w:permEnd w:id="1"/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41"/>
        <w:spacing w:before="0"/>
        <w:ind w:left="360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6" w:name="_Toc522107736"/>
      <w:bookmarkStart w:id="17" w:name="_Toc522716116"/>
      <w:r>
        <w:rPr>
          <w:rFonts w:ascii="Times New Roman" w:hAnsi="Times New Roman"/>
          <w:b/>
        </w:rPr>
        <w:t>范围</w:t>
      </w:r>
      <w:bookmarkEnd w:id="16"/>
      <w:bookmarkEnd w:id="17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2" w:edGrp="everyone"/>
      <w:r>
        <w:rPr>
          <w:rFonts w:hint="eastAsia"/>
          <w:szCs w:val="21"/>
          <w:lang w:val="en-US" w:eastAsia="zh-CN"/>
        </w:rPr>
        <w:t>质量控制室</w:t>
      </w:r>
      <w:r>
        <w:rPr>
          <w:rFonts w:hint="eastAsia"/>
          <w:sz w:val="22"/>
          <w:lang w:eastAsia="zh-CN"/>
        </w:rPr>
        <w:t>微波消解炉</w:t>
      </w:r>
      <w:permEnd w:id="2"/>
      <w:r>
        <w:rPr>
          <w:szCs w:val="21"/>
          <w:lang w:eastAsia="zh-CN"/>
        </w:rPr>
        <w:t>。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8" w:name="_Toc522107737"/>
      <w:bookmarkStart w:id="19" w:name="_Toc522716117"/>
      <w:r>
        <w:rPr>
          <w:rFonts w:ascii="Times New Roman" w:hAnsi="Times New Roman"/>
          <w:b/>
        </w:rPr>
        <w:t>参考文件</w:t>
      </w:r>
      <w:bookmarkEnd w:id="18"/>
      <w:bookmarkEnd w:id="19"/>
    </w:p>
    <w:p>
      <w:pPr>
        <w:pStyle w:val="4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i w:val="0"/>
          <w:iCs/>
          <w:color w:val="auto"/>
          <w:szCs w:val="21"/>
          <w:lang w:eastAsia="zh-CN"/>
        </w:rPr>
      </w:pPr>
      <w:permStart w:id="3" w:edGrp="everyone"/>
      <w:r>
        <w:rPr>
          <w:rFonts w:hint="eastAsia"/>
          <w:i w:val="0"/>
          <w:iCs/>
          <w:color w:val="auto"/>
          <w:szCs w:val="21"/>
          <w:lang w:eastAsia="zh-CN"/>
        </w:rPr>
        <w:t>《</w:t>
      </w:r>
      <w:r>
        <w:rPr>
          <w:rFonts w:hint="eastAsia"/>
          <w:i w:val="0"/>
          <w:iCs/>
          <w:color w:val="auto"/>
          <w:szCs w:val="21"/>
          <w:lang w:val="en-US" w:eastAsia="zh-CN"/>
        </w:rPr>
        <w:t>中华人民共和国药典</w:t>
      </w:r>
      <w:r>
        <w:rPr>
          <w:rFonts w:hint="eastAsia"/>
          <w:i w:val="0"/>
          <w:iCs/>
          <w:color w:val="auto"/>
          <w:szCs w:val="21"/>
          <w:lang w:eastAsia="zh-CN"/>
        </w:rPr>
        <w:t>》</w:t>
      </w:r>
      <w:r>
        <w:rPr>
          <w:i w:val="0"/>
          <w:iCs/>
          <w:color w:val="auto"/>
          <w:szCs w:val="21"/>
          <w:lang w:eastAsia="zh-CN"/>
        </w:rPr>
        <w:t xml:space="preserve"> </w:t>
      </w:r>
      <w:r>
        <w:rPr>
          <w:i w:val="0"/>
          <w:iCs/>
          <w:color w:val="auto"/>
          <w:szCs w:val="21"/>
        </w:rPr>
        <w:t>20</w:t>
      </w:r>
      <w:r>
        <w:rPr>
          <w:rFonts w:hint="eastAsia"/>
          <w:i w:val="0"/>
          <w:iCs/>
          <w:color w:val="auto"/>
          <w:szCs w:val="21"/>
          <w:lang w:val="en-US" w:eastAsia="zh-CN"/>
        </w:rPr>
        <w:t>25</w:t>
      </w:r>
      <w:r>
        <w:rPr>
          <w:i w:val="0"/>
          <w:iCs/>
          <w:color w:val="auto"/>
          <w:szCs w:val="21"/>
        </w:rPr>
        <w:t>年版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rFonts w:ascii="宋体" w:hAnsi="宋体" w:cs="宋体"/>
          <w:sz w:val="21"/>
          <w:szCs w:val="18"/>
          <w:lang w:eastAsia="zh-CN"/>
        </w:rPr>
      </w:pPr>
      <w:r>
        <w:rPr>
          <w:rFonts w:hint="eastAsia" w:ascii="宋体" w:hAnsi="宋体" w:cs="宋体"/>
          <w:sz w:val="21"/>
          <w:szCs w:val="16"/>
          <w:lang w:eastAsia="zh-CN"/>
        </w:rPr>
        <w:t>《药品生产质量管理规范》（2010修订版）及附录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i w:val="0"/>
          <w:iCs/>
          <w:color w:val="4472C4"/>
          <w:szCs w:val="21"/>
          <w:lang w:eastAsia="zh-CN"/>
        </w:rPr>
      </w:pPr>
      <w:r>
        <w:rPr>
          <w:rFonts w:hint="eastAsia" w:ascii="宋体" w:hAnsi="宋体" w:cs="宋体"/>
          <w:sz w:val="21"/>
          <w:szCs w:val="16"/>
          <w:lang w:eastAsia="zh-CN"/>
        </w:rPr>
        <w:t>GMP附件2《确认与验证》（2015版）</w:t>
      </w:r>
    </w:p>
    <w:permEnd w:id="3"/>
    <w:p>
      <w:pPr>
        <w:pStyle w:val="4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i/>
          <w:color w:val="0070C0"/>
          <w:szCs w:val="21"/>
          <w:lang w:eastAsia="zh-CN"/>
        </w:rPr>
      </w:pPr>
      <w:permStart w:id="4" w:edGrp="everyone"/>
      <w:r>
        <w:rPr>
          <w:i w:val="0"/>
          <w:iCs/>
          <w:color w:val="auto"/>
          <w:szCs w:val="21"/>
          <w:lang w:eastAsia="zh-CN"/>
        </w:rPr>
        <w:t>电气安全应符合GB4793.1和GB4793.4的要求。</w:t>
      </w:r>
    </w:p>
    <w:permEnd w:id="4"/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0" w:name="_Toc522107739"/>
      <w:bookmarkStart w:id="21" w:name="_Toc522716119"/>
      <w:r>
        <w:rPr>
          <w:rFonts w:ascii="Times New Roman" w:hAnsi="Times New Roman"/>
          <w:b/>
        </w:rPr>
        <w:t>系统描述</w:t>
      </w:r>
      <w:bookmarkEnd w:id="20"/>
      <w:bookmarkEnd w:id="21"/>
    </w:p>
    <w:p>
      <w:pPr>
        <w:pStyle w:val="31"/>
        <w:numPr>
          <w:ilvl w:val="0"/>
          <w:numId w:val="0"/>
        </w:numPr>
        <w:spacing w:afterLines="50"/>
        <w:ind w:leftChars="-202" w:firstLine="840" w:firstLineChars="400"/>
        <w:outlineLvl w:val="0"/>
        <w:rPr>
          <w:rFonts w:ascii="Times New Roman" w:hAnsi="Times New Roman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质量控制室需购买1台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 w:bidi="ar-SA"/>
        </w:rPr>
        <w:t>微波消解炉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主要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 w:bidi="ar-SA"/>
        </w:rPr>
        <w:t>用于明</w:t>
      </w:r>
      <w:bookmarkStart w:id="47" w:name="_GoBack"/>
      <w:bookmarkEnd w:id="47"/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 w:bidi="ar-SA"/>
        </w:rPr>
        <w:t>胶中铬含量的测定样品前处理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。</w:t>
      </w: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22" w:name="_Toc522716120"/>
      <w:r>
        <w:rPr>
          <w:rFonts w:ascii="Times New Roman" w:hAnsi="Times New Roman"/>
          <w:b/>
          <w:szCs w:val="21"/>
        </w:rPr>
        <w:t>安装要求</w:t>
      </w:r>
      <w:bookmarkEnd w:id="22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3" w:name="OLE_LINK2"/>
            <w:bookmarkStart w:id="24" w:name="OLE_LINK1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质量控制室原辅料生化检测区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i w:val="0"/>
                <w:iCs/>
                <w:color w:val="auto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Cs w:val="21"/>
                <w:lang w:val="en-US" w:eastAsia="zh-CN"/>
              </w:rPr>
              <w:t>关键</w:t>
            </w: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i w:val="0"/>
                <w:iCs/>
                <w:color w:val="auto"/>
                <w:szCs w:val="21"/>
                <w:lang w:eastAsia="zh-CN"/>
              </w:rPr>
            </w:pPr>
            <w:r>
              <w:rPr>
                <w:i w:val="0"/>
                <w:iCs/>
                <w:color w:val="auto"/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highlight w:val="none"/>
              </w:rPr>
            </w:pPr>
            <w:permStart w:id="6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highlight w:val="none"/>
                <w:lang w:eastAsia="zh-CN"/>
              </w:rPr>
            </w:pPr>
            <w:r>
              <w:rPr>
                <w:rFonts w:hint="eastAsia"/>
                <w:i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尺寸不大于</w:t>
            </w:r>
            <w:r>
              <w:t>533 mm × 635 mm × 432 mm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i w:val="0"/>
                <w:iCs/>
                <w:color w:val="auto"/>
                <w:szCs w:val="21"/>
                <w:highlight w:val="yellow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Cs w:val="21"/>
                <w:highlight w:val="yellow"/>
                <w:lang w:val="en-US" w:eastAsia="zh-CN"/>
              </w:rPr>
              <w:t>关键</w:t>
            </w: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7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i w:val="0"/>
                <w:iCs/>
                <w:color w:val="auto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auto"/>
                <w:szCs w:val="21"/>
                <w:lang w:eastAsia="zh-CN"/>
              </w:rPr>
            </w:pPr>
            <w:r>
              <w:rPr>
                <w:color w:val="auto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i w:val="0"/>
                <w:iCs/>
                <w:color w:val="auto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Cs w:val="21"/>
                <w:lang w:val="en-US" w:eastAsia="zh-CN"/>
              </w:rPr>
              <w:t>关键</w:t>
            </w:r>
          </w:p>
        </w:tc>
      </w:tr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8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重量（</w:t>
            </w:r>
            <w:r>
              <w:rPr>
                <w:color w:val="000000"/>
                <w:szCs w:val="21"/>
                <w:lang w:val="en-US" w:eastAsia="zh-CN"/>
              </w:rPr>
              <w:t>kg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）不超出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实验室台面</w:t>
            </w:r>
            <w:r>
              <w:rPr>
                <w:sz w:val="21"/>
                <w:szCs w:val="21"/>
              </w:rPr>
              <w:t>承重要求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Cs w:val="21"/>
                <w:lang w:val="en-US" w:eastAsia="zh-CN"/>
              </w:rPr>
              <w:t>关键</w:t>
            </w:r>
          </w:p>
        </w:tc>
      </w:tr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0"/>
              </w:numPr>
              <w:ind w:left="600" w:left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9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 w:val="0"/>
                <w:iCs/>
                <w:color w:val="auto"/>
                <w:szCs w:val="21"/>
                <w:lang w:eastAsia="zh-CN"/>
              </w:rPr>
            </w:pPr>
            <w:r>
              <w:rPr>
                <w:i w:val="0"/>
                <w:iCs/>
                <w:color w:val="auto"/>
                <w:lang w:eastAsia="zh-CN"/>
              </w:rPr>
              <w:t>工作环境温度：能适应10</w:t>
            </w:r>
            <w:r>
              <w:rPr>
                <w:rFonts w:hint="eastAsia" w:ascii="宋体" w:hAnsi="宋体" w:cs="宋体"/>
                <w:i w:val="0"/>
                <w:iCs/>
                <w:color w:val="auto"/>
                <w:lang w:eastAsia="zh-CN"/>
              </w:rPr>
              <w:t>℃</w:t>
            </w:r>
            <w:r>
              <w:rPr>
                <w:i w:val="0"/>
                <w:iCs/>
                <w:color w:val="auto"/>
                <w:lang w:eastAsia="zh-CN"/>
              </w:rPr>
              <w:t>～3</w:t>
            </w:r>
            <w:r>
              <w:rPr>
                <w:rFonts w:hint="eastAsia"/>
                <w:i w:val="0"/>
                <w:iCs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i w:val="0"/>
                <w:iCs/>
                <w:color w:val="auto"/>
                <w:lang w:eastAsia="zh-CN"/>
              </w:rPr>
              <w:t>℃</w:t>
            </w:r>
            <w:r>
              <w:rPr>
                <w:i w:val="0"/>
                <w:iCs/>
                <w:color w:val="auto"/>
                <w:lang w:eastAsia="zh-CN"/>
              </w:rPr>
              <w:t xml:space="preserve">环境 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i w:val="0"/>
                <w:iCs/>
                <w:color w:val="auto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Cs w:val="21"/>
                <w:lang w:val="en-US" w:eastAsia="zh-CN"/>
              </w:rPr>
              <w:t>关键</w:t>
            </w: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 w:val="0"/>
                <w:iCs/>
                <w:color w:val="auto"/>
                <w:lang w:eastAsia="zh-CN"/>
              </w:rPr>
            </w:pPr>
            <w:r>
              <w:rPr>
                <w:i w:val="0"/>
                <w:iCs/>
                <w:color w:val="auto"/>
                <w:lang w:eastAsia="zh-CN"/>
              </w:rPr>
              <w:t>工作环境洁净级别：普通区域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i w:val="0"/>
                <w:iCs/>
                <w:color w:val="auto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Cs w:val="21"/>
                <w:lang w:val="en-US"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交流电电源：～220±10%V，50±1Hz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i w:val="0"/>
                <w:iCs/>
                <w:color w:val="auto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Cs w:val="21"/>
                <w:lang w:val="en-US"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工作区配置防溅安全电源插座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i w:val="0"/>
                <w:iCs/>
                <w:color w:val="auto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Cs w:val="21"/>
                <w:lang w:val="en-US" w:eastAsia="zh-CN"/>
              </w:rPr>
              <w:t>关键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3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设备外观应端正、整齐，不得有明显的偏歪、毛刺和锈蚀等缺陷。表面应易于清洁消毒，耐腐蚀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i w:val="0"/>
                <w:iCs/>
                <w:color w:val="auto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color w:val="auto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设备内部表面不得有凹陷、毛刺和锈蚀等缺陷，且表面易于清洁消毒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i w:val="0"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iCs/>
                <w:color w:val="auto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 w:val="0"/>
                <w:iCs w:val="0"/>
                <w:color w:val="auto"/>
                <w:szCs w:val="21"/>
                <w:lang w:eastAsia="zh-CN"/>
              </w:rPr>
            </w:pPr>
            <w:r>
              <w:rPr>
                <w:i w:val="0"/>
                <w:iCs w:val="0"/>
                <w:color w:val="auto"/>
                <w:szCs w:val="21"/>
                <w:lang w:val="en-US" w:eastAsia="zh-CN"/>
              </w:rPr>
              <w:t>标识</w:t>
            </w:r>
            <w:r>
              <w:rPr>
                <w:i w:val="0"/>
                <w:iCs w:val="0"/>
                <w:color w:val="auto"/>
                <w:szCs w:val="21"/>
                <w:lang w:eastAsia="zh-CN"/>
              </w:rPr>
              <w:t xml:space="preserve">：至少应有以下永久贴牢和清楚易认的标识： </w:t>
            </w:r>
          </w:p>
          <w:p>
            <w:pPr>
              <w:spacing w:line="276" w:lineRule="auto"/>
              <w:jc w:val="both"/>
              <w:rPr>
                <w:i w:val="0"/>
                <w:iCs w:val="0"/>
                <w:color w:val="auto"/>
                <w:szCs w:val="21"/>
                <w:lang w:eastAsia="zh-CN"/>
              </w:rPr>
            </w:pPr>
            <w:r>
              <w:rPr>
                <w:i w:val="0"/>
                <w:iCs w:val="0"/>
                <w:color w:val="auto"/>
                <w:szCs w:val="21"/>
                <w:lang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i w:val="0"/>
                <w:iCs w:val="0"/>
                <w:color w:val="auto"/>
                <w:szCs w:val="21"/>
                <w:lang w:eastAsia="zh-CN"/>
              </w:rPr>
            </w:pPr>
            <w:r>
              <w:rPr>
                <w:i w:val="0"/>
                <w:iCs w:val="0"/>
                <w:color w:val="auto"/>
                <w:szCs w:val="21"/>
                <w:lang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i w:val="0"/>
                <w:iCs w:val="0"/>
                <w:color w:val="auto"/>
                <w:szCs w:val="21"/>
                <w:lang w:eastAsia="zh-CN"/>
              </w:rPr>
            </w:pPr>
            <w:r>
              <w:rPr>
                <w:i w:val="0"/>
                <w:iCs w:val="0"/>
                <w:color w:val="auto"/>
                <w:szCs w:val="21"/>
                <w:lang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i w:val="0"/>
                <w:iCs w:val="0"/>
                <w:color w:val="auto"/>
                <w:szCs w:val="21"/>
                <w:lang w:eastAsia="zh-CN"/>
              </w:rPr>
            </w:pPr>
            <w:r>
              <w:rPr>
                <w:i w:val="0"/>
                <w:iCs w:val="0"/>
                <w:color w:val="auto"/>
                <w:szCs w:val="21"/>
                <w:lang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i w:val="0"/>
                <w:iCs w:val="0"/>
                <w:color w:val="auto"/>
                <w:szCs w:val="21"/>
                <w:lang w:eastAsia="zh-CN"/>
              </w:rPr>
            </w:pPr>
            <w:r>
              <w:rPr>
                <w:i w:val="0"/>
                <w:iCs w:val="0"/>
                <w:color w:val="auto"/>
                <w:szCs w:val="21"/>
                <w:lang w:eastAsia="zh-CN"/>
              </w:rPr>
              <w:t>（5）对设备必要的说明；</w:t>
            </w:r>
          </w:p>
          <w:p>
            <w:pPr>
              <w:spacing w:line="276" w:lineRule="auto"/>
              <w:jc w:val="both"/>
              <w:rPr>
                <w:i w:val="0"/>
                <w:iCs w:val="0"/>
                <w:color w:val="auto"/>
                <w:szCs w:val="21"/>
                <w:lang w:eastAsia="zh-CN"/>
              </w:rPr>
            </w:pPr>
            <w:r>
              <w:rPr>
                <w:i w:val="0"/>
                <w:iCs w:val="0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i w:val="0"/>
                <w:iCs w:val="0"/>
                <w:color w:val="auto"/>
                <w:szCs w:val="21"/>
                <w:lang w:val="en-US" w:eastAsia="zh-CN"/>
              </w:rPr>
              <w:t>6</w:t>
            </w:r>
            <w:r>
              <w:rPr>
                <w:i w:val="0"/>
                <w:iCs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i w:val="0"/>
                <w:iCs w:val="0"/>
                <w:color w:val="auto"/>
                <w:szCs w:val="21"/>
                <w:lang w:val="en-US" w:eastAsia="zh-CN"/>
              </w:rPr>
              <w:t>必要的功能标识及说明</w:t>
            </w:r>
          </w:p>
          <w:p>
            <w:pPr>
              <w:pStyle w:val="7"/>
              <w:spacing w:line="276" w:lineRule="auto"/>
              <w:rPr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i w:val="0"/>
                <w:i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i w:val="0"/>
                <w:iCs w:val="0"/>
                <w:color w:val="auto"/>
                <w:sz w:val="21"/>
                <w:szCs w:val="21"/>
              </w:rPr>
              <w:t>）安全标识。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i w:val="0"/>
                <w:iCs w:val="0"/>
                <w:color w:val="auto"/>
                <w:szCs w:val="21"/>
                <w:lang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Cs w:val="21"/>
                <w:lang w:val="en-US" w:eastAsia="zh-CN"/>
              </w:rPr>
              <w:t>关键</w:t>
            </w:r>
          </w:p>
        </w:tc>
      </w:tr>
      <w:bookmarkEnd w:id="23"/>
      <w:bookmarkEnd w:id="24"/>
      <w:permEnd w:id="13"/>
    </w:tbl>
    <w:p>
      <w:pPr>
        <w:pStyle w:val="31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5" w:name="_Toc522107740"/>
      <w:bookmarkStart w:id="26" w:name="_Toc522716121"/>
      <w:r>
        <w:rPr>
          <w:rFonts w:ascii="Times New Roman" w:hAnsi="Times New Roman"/>
          <w:b/>
        </w:rPr>
        <w:t>运行要求</w:t>
      </w:r>
      <w:bookmarkEnd w:id="25"/>
      <w:bookmarkEnd w:id="26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14" w:edGrp="everyone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ind w:firstLine="0" w:firstLineChars="0"/>
              <w:rPr>
                <w:rFonts w:ascii="Times New Roman" w:hAnsi="Times New Roman"/>
                <w:color w:val="EEECE1"/>
                <w:szCs w:val="21"/>
              </w:rPr>
            </w:pPr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vAlign w:val="center"/>
          </w:tcPr>
          <w:p>
            <w:pPr>
              <w:pStyle w:val="7"/>
              <w:spacing w:line="360" w:lineRule="auto"/>
              <w:rPr>
                <w:rFonts w:ascii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cs="黑体"/>
                <w:szCs w:val="21"/>
                <w:lang w:val="en-US" w:eastAsia="zh-CN"/>
              </w:rPr>
            </w:pPr>
            <w:r>
              <w:rPr>
                <w:rFonts w:hint="eastAsia" w:ascii="Arial" w:cs="Arial"/>
                <w:szCs w:val="21"/>
                <w:lang w:eastAsia="zh-CN"/>
              </w:rPr>
              <w:t>系统包含：主机、12位反应转子、1</w:t>
            </w:r>
            <w:r>
              <w:rPr>
                <w:rFonts w:ascii="Arial" w:cs="Arial"/>
                <w:szCs w:val="21"/>
                <w:lang w:eastAsia="zh-CN"/>
              </w:rPr>
              <w:t>2</w:t>
            </w:r>
            <w:r>
              <w:rPr>
                <w:rFonts w:hint="eastAsia" w:ascii="Arial" w:cs="Arial"/>
                <w:szCs w:val="21"/>
                <w:lang w:eastAsia="zh-CN"/>
              </w:rPr>
              <w:t>套消解管(包含内管、管盖等所有配置)、安全防护罩、全管压力监控系统、红外温度传感器、数据采集软件、赶酸装置后处理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ascii="Arial" w:cs="Arial"/>
                <w:szCs w:val="21"/>
                <w:lang w:eastAsia="zh-CN"/>
              </w:rPr>
              <w:t>采用模块化设计，只需更换相应的转子和消解管就可以满足</w:t>
            </w:r>
            <w:r>
              <w:rPr>
                <w:rFonts w:hint="eastAsia" w:ascii="Arial" w:cs="Arial"/>
                <w:szCs w:val="21"/>
                <w:lang w:eastAsia="zh-CN"/>
              </w:rPr>
              <w:t>微波消解、微波干燥</w:t>
            </w:r>
            <w:r>
              <w:rPr>
                <w:rFonts w:ascii="Arial" w:cs="Arial"/>
                <w:szCs w:val="21"/>
                <w:lang w:eastAsia="zh-CN"/>
              </w:rPr>
              <w:t>等应用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ascii="Arial" w:cs="Arial"/>
                <w:szCs w:val="21"/>
                <w:lang w:eastAsia="zh-CN"/>
              </w:rPr>
              <w:t>内置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智能</w:t>
            </w:r>
            <w:r>
              <w:rPr>
                <w:rFonts w:ascii="Arial" w:cs="Arial"/>
                <w:szCs w:val="21"/>
                <w:lang w:eastAsia="zh-CN"/>
              </w:rPr>
              <w:t>处理器，</w:t>
            </w:r>
            <w:r>
              <w:rPr>
                <w:rFonts w:hint="eastAsia" w:ascii="Arial" w:cs="Arial"/>
                <w:szCs w:val="21"/>
                <w:lang w:eastAsia="zh-CN"/>
              </w:rPr>
              <w:t>包</w:t>
            </w:r>
            <w:r>
              <w:rPr>
                <w:rFonts w:ascii="Arial" w:cs="Arial"/>
                <w:szCs w:val="21"/>
                <w:lang w:eastAsia="zh-CN"/>
              </w:rPr>
              <w:t>含</w:t>
            </w:r>
            <w:r>
              <w:rPr>
                <w:rFonts w:hint="eastAsia" w:ascii="Arial" w:cs="Arial"/>
                <w:szCs w:val="21"/>
                <w:lang w:eastAsia="zh-CN"/>
              </w:rPr>
              <w:t>大于150种</w:t>
            </w:r>
            <w:r>
              <w:rPr>
                <w:rFonts w:ascii="Arial" w:hAnsi="Arial" w:cs="Arial"/>
                <w:szCs w:val="21"/>
                <w:lang w:eastAsia="zh-CN"/>
              </w:rPr>
              <w:t>EPA</w:t>
            </w:r>
            <w:r>
              <w:rPr>
                <w:rFonts w:ascii="Arial" w:cs="Arial"/>
                <w:szCs w:val="21"/>
                <w:lang w:eastAsia="zh-CN"/>
              </w:rPr>
              <w:t>、</w:t>
            </w:r>
            <w:r>
              <w:rPr>
                <w:rFonts w:ascii="Arial" w:hAnsi="Arial" w:cs="Arial"/>
                <w:szCs w:val="21"/>
                <w:lang w:eastAsia="zh-CN"/>
              </w:rPr>
              <w:t>ASTM</w:t>
            </w:r>
            <w:r>
              <w:rPr>
                <w:rFonts w:ascii="Arial" w:cs="Arial"/>
                <w:szCs w:val="21"/>
                <w:lang w:eastAsia="zh-CN"/>
              </w:rPr>
              <w:t>标准方法等经验证的方法库，最多可存储</w:t>
            </w:r>
            <w:r>
              <w:rPr>
                <w:rFonts w:hint="eastAsia" w:ascii="Arial" w:cs="Arial"/>
                <w:szCs w:val="21"/>
                <w:lang w:eastAsia="zh-CN"/>
              </w:rPr>
              <w:t>大于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2</w:t>
            </w:r>
            <w:r>
              <w:rPr>
                <w:rFonts w:ascii="Arial" w:hAnsi="Arial" w:cs="Arial"/>
                <w:szCs w:val="21"/>
                <w:lang w:eastAsia="zh-CN"/>
              </w:rPr>
              <w:t>00</w:t>
            </w:r>
            <w:r>
              <w:rPr>
                <w:rFonts w:ascii="Arial" w:cs="Arial"/>
                <w:szCs w:val="21"/>
                <w:lang w:eastAsia="zh-CN"/>
              </w:rPr>
              <w:t>种方法，可修改、新建方法，自动保留最近</w:t>
            </w:r>
            <w:r>
              <w:rPr>
                <w:rFonts w:ascii="Arial" w:hAnsi="Arial" w:cs="Arial"/>
                <w:szCs w:val="21"/>
                <w:lang w:eastAsia="zh-CN"/>
              </w:rPr>
              <w:t>8</w:t>
            </w:r>
            <w:r>
              <w:rPr>
                <w:rFonts w:ascii="Arial" w:cs="Arial"/>
                <w:szCs w:val="21"/>
                <w:lang w:eastAsia="zh-CN"/>
              </w:rPr>
              <w:t>小时内的工作记录。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cs="宋体"/>
                <w:sz w:val="21"/>
                <w:szCs w:val="21"/>
                <w:lang w:eastAsia="zh-CN"/>
              </w:rPr>
            </w:pPr>
            <w:r>
              <w:rPr>
                <w:rFonts w:hint="eastAsia" w:ascii="Arial" w:cs="Arial"/>
                <w:szCs w:val="21"/>
                <w:lang w:eastAsia="zh-CN"/>
              </w:rPr>
              <w:t>仪器采用DMC定向多模腔技术，TURBO涡轮加热，微波直接聚焦于样品，仪器自动根据反应管位数或反应管内溶液体积调整微波输出。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default" w:ascii="Times New Roman" w:hAnsi="Times New Roman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主机</w:t>
            </w:r>
            <w:r>
              <w:rPr>
                <w:lang w:eastAsia="zh-CN"/>
              </w:rPr>
              <w:t>内置</w:t>
            </w:r>
            <w:r>
              <w:rPr>
                <w:rFonts w:hint="eastAsia"/>
                <w:lang w:eastAsia="zh-CN"/>
              </w:rPr>
              <w:t>TURBO 涡轮冷却系统</w:t>
            </w:r>
            <w:r>
              <w:rPr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能确保消解过程结束过后8分钟内消解管原位冷却到室温。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主机配置</w:t>
            </w:r>
            <w:r>
              <w:rPr>
                <w:lang w:eastAsia="zh-CN"/>
              </w:rPr>
              <w:t>抗冲击安全门，带四重互锁装置，过压释放后可通过磁力原理重新密闭。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批处理量要求：每批次</w:t>
            </w:r>
            <w:r>
              <w:rPr>
                <w:rFonts w:ascii="Arial" w:hAnsi="Arial" w:cs="Arial"/>
                <w:szCs w:val="21"/>
                <w:lang w:eastAsia="zh-CN"/>
              </w:rPr>
              <w:t>可同时处理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样品</w:t>
            </w:r>
            <w:r>
              <w:rPr>
                <w:rFonts w:hint="eastAsia" w:ascii="Arial" w:cs="Arial"/>
                <w:szCs w:val="21"/>
                <w:lang w:eastAsia="zh-CN"/>
              </w:rPr>
              <w:t>数量≥</w:t>
            </w:r>
            <w:r>
              <w:rPr>
                <w:rFonts w:ascii="Arial" w:cs="Arial"/>
                <w:szCs w:val="21"/>
                <w:lang w:eastAsia="zh-CN"/>
              </w:rPr>
              <w:t>1</w:t>
            </w:r>
            <w:r>
              <w:rPr>
                <w:rFonts w:hint="eastAsia" w:ascii="Arial" w:cs="Arial"/>
                <w:szCs w:val="21"/>
                <w:lang w:eastAsia="zh-CN"/>
              </w:rPr>
              <w:t>2</w:t>
            </w:r>
            <w:r>
              <w:rPr>
                <w:rFonts w:ascii="Arial" w:cs="Arial"/>
                <w:szCs w:val="21"/>
                <w:lang w:eastAsia="zh-CN"/>
              </w:rPr>
              <w:t>个/批次，消解管内管体积</w:t>
            </w:r>
            <w:r>
              <w:rPr>
                <w:rFonts w:hint="eastAsia" w:ascii="Arial" w:cs="Arial"/>
                <w:szCs w:val="21"/>
                <w:lang w:eastAsia="zh-CN"/>
              </w:rPr>
              <w:t>50</w:t>
            </w:r>
            <w:r>
              <w:rPr>
                <w:rFonts w:ascii="Arial" w:cs="Arial"/>
                <w:szCs w:val="21"/>
                <w:lang w:eastAsia="zh-CN"/>
              </w:rPr>
              <w:t>mL</w:t>
            </w:r>
            <w:r>
              <w:rPr>
                <w:rFonts w:hint="eastAsia" w:ascii="Arial" w:cs="Arial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消解管内管材质：</w:t>
            </w:r>
            <w:r>
              <w:rPr>
                <w:szCs w:val="21"/>
                <w:lang w:val="en-US" w:eastAsia="zh-CN"/>
              </w:rPr>
              <w:t>PTFE-TFM</w:t>
            </w:r>
            <w:r>
              <w:rPr>
                <w:rFonts w:hint="eastAsia"/>
                <w:szCs w:val="21"/>
                <w:lang w:val="en-US" w:eastAsia="zh-CN"/>
              </w:rPr>
              <w:t>复合材料，压力套管材质：防腐合金材质，管盖内置合成金属弹片，最高耐温不小于</w:t>
            </w:r>
            <w:r>
              <w:rPr>
                <w:szCs w:val="21"/>
                <w:lang w:val="en-US" w:eastAsia="zh-CN"/>
              </w:rPr>
              <w:t>300C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  <w:r>
              <w:rPr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需要提供防腐合金材质转子照片以作证明</w:t>
            </w:r>
            <w:r>
              <w:rPr>
                <w:szCs w:val="21"/>
                <w:lang w:val="en-US" w:eastAsia="zh-CN"/>
              </w:rPr>
              <w:t>)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消解内管外壁带有竖形冷却气道设计，确保降温快速均匀, 冷却气道数量≥10。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实际最高反应温度≥</w:t>
            </w:r>
            <w:r>
              <w:rPr>
                <w:szCs w:val="21"/>
                <w:lang w:val="en-US" w:eastAsia="zh-CN"/>
              </w:rPr>
              <w:t>210</w:t>
            </w:r>
            <w:r>
              <w:rPr>
                <w:rFonts w:hint="eastAsia"/>
                <w:szCs w:val="21"/>
                <w:lang w:val="en-US" w:eastAsia="zh-CN"/>
              </w:rPr>
              <w:t>℃，超快速实现样品消解，整个消解过程≤</w:t>
            </w:r>
            <w:r>
              <w:rPr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分钟。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消解转子材质为不变形、耐腐蚀、稳定性好的高强防腐合金材质，配置安全防护罩，确保操作人员安全。(需要提供安全防护罩照片以作证明)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主机一体式大屏幕液晶显示，可在主机上实时显示温度、时间等参数并显示实时反应参数曲线。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红外温度传感器从底部测定反应管内管的温度，并在主机显示屏上显示每个反应管相应温度数值及曲线，测量温度范围：</w:t>
            </w:r>
            <w:r>
              <w:rPr>
                <w:szCs w:val="21"/>
                <w:lang w:val="en-US" w:eastAsia="zh-CN"/>
              </w:rPr>
              <w:t>20-390C</w:t>
            </w:r>
            <w:r>
              <w:rPr>
                <w:rFonts w:hint="eastAsia"/>
                <w:szCs w:val="21"/>
                <w:lang w:val="en-US" w:eastAsia="zh-CN"/>
              </w:rPr>
              <w:t>，精度：±</w:t>
            </w:r>
            <w:r>
              <w:rPr>
                <w:szCs w:val="21"/>
                <w:lang w:val="en-US" w:eastAsia="zh-CN"/>
              </w:rPr>
              <w:t>1°C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全温度范围内智能控压系统，可实现最高2g样品的安全消解，压力超过设定值自动停止微波输出。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温度控制程序可设置平均温度、最高温度、最低温度三种模式。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无线数据传输系统设计，反应过程中反应转子可360度自由旋转，腔体内不得有插头。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内置温度自动校正程序，用户可自行进行温度传感器校正。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0"/>
              </w:numPr>
              <w:ind w:left="840" w:leftChars="0" w:firstLine="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N/A</w:t>
            </w:r>
          </w:p>
        </w:tc>
      </w:tr>
    </w:tbl>
    <w:p>
      <w:pPr>
        <w:pStyle w:val="41"/>
        <w:spacing w:before="0" w:line="360" w:lineRule="auto"/>
        <w:ind w:left="357"/>
        <w:jc w:val="left"/>
        <w:rPr>
          <w:bCs/>
          <w:i/>
          <w:color w:val="4472C4"/>
          <w:kern w:val="44"/>
          <w:szCs w:val="21"/>
          <w:lang w:eastAsia="zh-CN"/>
        </w:rPr>
      </w:pPr>
    </w:p>
    <w:permEnd w:id="14"/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7" w:name="_Toc522716122"/>
      <w:bookmarkStart w:id="28" w:name="_Toc522107742"/>
      <w:bookmarkStart w:id="29" w:name="_Toc483400317"/>
      <w:bookmarkStart w:id="30" w:name="_Toc483227237"/>
      <w:bookmarkStart w:id="31" w:name="_Toc481702480"/>
      <w:bookmarkStart w:id="32" w:name="_Toc482370359"/>
      <w:bookmarkStart w:id="33" w:name="_Toc482625289"/>
      <w:bookmarkStart w:id="34" w:name="_Toc482370767"/>
      <w:bookmarkStart w:id="35" w:name="_Toc482360291"/>
      <w:bookmarkStart w:id="36" w:name="_Toc482717202"/>
      <w:bookmarkStart w:id="37" w:name="_Toc482369815"/>
      <w:bookmarkStart w:id="38" w:name="_Toc482359946"/>
      <w:bookmarkStart w:id="39" w:name="_Toc482370151"/>
      <w:bookmarkStart w:id="40" w:name="_Toc482370071"/>
      <w:r>
        <w:rPr>
          <w:rFonts w:ascii="Times New Roman" w:hAnsi="Times New Roman"/>
          <w:b/>
        </w:rPr>
        <w:t>电气、自动控制要求</w:t>
      </w:r>
      <w:bookmarkEnd w:id="27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7D7D7" w:themeFill="background1" w:themeFillShade="D8"/>
            <w:vAlign w:val="center"/>
          </w:tcPr>
          <w:p>
            <w:pPr>
              <w:pStyle w:val="31"/>
              <w:numPr>
                <w:ilvl w:val="0"/>
                <w:numId w:val="0"/>
              </w:numPr>
              <w:ind w:left="840" w:leftChars="0" w:firstLine="0" w:firstLineChars="0"/>
              <w:rPr>
                <w:rFonts w:ascii="Times New Roman" w:hAnsi="Times New Roman"/>
                <w:szCs w:val="21"/>
              </w:rPr>
            </w:pPr>
            <w:permStart w:id="15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N/A</w:t>
            </w: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0"/>
              </w:numPr>
              <w:ind w:left="840" w:left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N/A</w:t>
            </w:r>
          </w:p>
        </w:tc>
      </w:tr>
      <w:permEnd w:id="16"/>
    </w:tbl>
    <w:p>
      <w:pPr>
        <w:spacing w:afterLines="50"/>
        <w:rPr>
          <w:b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1" w:name="_Toc522716123"/>
      <w:r>
        <w:rPr>
          <w:rFonts w:ascii="Times New Roman" w:hAnsi="Times New Roman"/>
          <w:b/>
        </w:rPr>
        <w:t>安全要求</w:t>
      </w:r>
      <w:bookmarkEnd w:id="28"/>
      <w:bookmarkEnd w:id="41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有断电保护措施</w:t>
            </w:r>
          </w:p>
        </w:tc>
      </w:tr>
    </w:tbl>
    <w:p>
      <w:pPr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2" w:name="_Toc522716124"/>
      <w:bookmarkStart w:id="43" w:name="_Toc522107743"/>
      <w:r>
        <w:rPr>
          <w:rFonts w:ascii="Times New Roman" w:hAnsi="Times New Roman"/>
          <w:b/>
        </w:rPr>
        <w:t>文件要求</w:t>
      </w:r>
      <w:bookmarkEnd w:id="42"/>
      <w:bookmarkEnd w:id="43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投标文件、合同及订单。</w:t>
            </w: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ab/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关键</w:t>
            </w: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8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卖方发运清单及相关检验报告</w:t>
            </w: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ab/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系统功能配置清单及说明，包含各组件名称、编号、型号、规格、品牌、材质等。</w:t>
            </w: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ab/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系统选型文件，包括设备标准技术文件、功能说明、设计说明、软硬件配置清单与说明。</w:t>
            </w: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ab/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设备厂家文件：出厂测试合格证、各关键组件说明书、相关检测报告、各种标示。</w:t>
            </w: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ab/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设备安装文件：各种安装处理记录及报告。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设备开箱验收。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零部件、易损件、备件、消耗品、仪器仪表清单，包括名称、编号、对应厂家名称、生产地、规格及必要说明。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设备厂家文件：出厂测试合格证、相关检测报告、各种标示。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关键</w:t>
            </w:r>
          </w:p>
        </w:tc>
      </w:tr>
      <w:permEnd w:id="18"/>
    </w:tbl>
    <w:p>
      <w:pPr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4" w:name="_Toc522716125"/>
      <w:r>
        <w:rPr>
          <w:rFonts w:ascii="Times New Roman" w:hAnsi="Times New Roman"/>
          <w:b/>
          <w:szCs w:val="21"/>
        </w:rPr>
        <w:t>服务要求</w:t>
      </w:r>
      <w:bookmarkEnd w:id="44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left="846" w:leftChars="0" w:hanging="4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9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color w:val="auto"/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color w:val="auto"/>
                <w:szCs w:val="21"/>
              </w:rPr>
            </w:pPr>
            <w:permStart w:id="20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auto"/>
                <w:szCs w:val="21"/>
                <w:lang w:eastAsia="zh-CN"/>
              </w:rPr>
            </w:pPr>
            <w:r>
              <w:rPr>
                <w:color w:val="auto"/>
                <w:lang w:eastAsia="zh-CN"/>
              </w:rPr>
              <w:t>生产操作人员培训包括设备结构原理、性能、操作、清洗消毒、故障排除等基本</w:t>
            </w:r>
            <w:r>
              <w:rPr>
                <w:color w:val="auto"/>
                <w:szCs w:val="21"/>
                <w:lang w:eastAsia="zh-CN"/>
              </w:rPr>
              <w:t>知识</w:t>
            </w:r>
            <w:r>
              <w:rPr>
                <w:color w:val="auto"/>
                <w:lang w:eastAsia="zh-CN"/>
              </w:rPr>
              <w:t>。合格标准为用户参加培训人员能够独立正确操作设备，会排除常见故障。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关键</w:t>
            </w: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color w:val="auto"/>
                <w:szCs w:val="21"/>
              </w:rPr>
            </w:pPr>
            <w:permStart w:id="21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关键</w:t>
            </w: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left="846" w:leftChars="0" w:hanging="420" w:firstLine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color w:val="auto"/>
                <w:szCs w:val="21"/>
                <w:lang w:eastAsia="zh-CN"/>
              </w:rPr>
            </w:pPr>
            <w:r>
              <w:rPr>
                <w:color w:val="auto"/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color w:val="auto"/>
                <w:szCs w:val="21"/>
              </w:rPr>
            </w:pPr>
            <w:permStart w:id="22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auto"/>
                <w:szCs w:val="21"/>
                <w:lang w:eastAsia="zh-CN"/>
              </w:rPr>
            </w:pPr>
            <w:r>
              <w:rPr>
                <w:color w:val="auto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关键</w:t>
            </w:r>
          </w:p>
        </w:tc>
      </w:tr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3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70C0"/>
                <w:lang w:eastAsia="zh-CN"/>
              </w:rPr>
            </w:pPr>
            <w:r>
              <w:rPr>
                <w:rFonts w:hint="eastAsia"/>
                <w:lang w:eastAsia="zh-CN"/>
              </w:rPr>
              <w:t>设备供应商按照设备使用人员要求负责分批次运输到质量控制室</w:t>
            </w:r>
            <w:r>
              <w:rPr>
                <w:rFonts w:hint="eastAsia"/>
                <w:lang w:val="en-US" w:eastAsia="zh-CN"/>
              </w:rPr>
              <w:t>原材料生化检测区</w:t>
            </w:r>
            <w:r>
              <w:rPr>
                <w:rFonts w:hint="eastAsia"/>
                <w:lang w:eastAsia="zh-CN"/>
              </w:rPr>
              <w:t>摆放安装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left="846" w:leftChars="0" w:hanging="4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</w:t>
            </w:r>
            <w:r>
              <w:rPr>
                <w:rFonts w:hint="eastAsia"/>
                <w:caps w:val="0"/>
                <w:szCs w:val="21"/>
                <w:lang w:eastAsia="zh-CN"/>
              </w:rPr>
              <w:t>、</w:t>
            </w:r>
            <w:r>
              <w:rPr>
                <w:rFonts w:hint="eastAsia"/>
                <w:caps w:val="0"/>
                <w:szCs w:val="21"/>
                <w:lang w:val="en-US" w:eastAsia="zh-CN"/>
              </w:rPr>
              <w:t>计量</w:t>
            </w:r>
            <w:r>
              <w:rPr>
                <w:rFonts w:ascii="Times New Roman" w:hAnsi="Times New Roman" w:eastAsia="宋体"/>
                <w:caps w:val="0"/>
                <w:szCs w:val="21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4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default"/>
                <w:iCs w:val="0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能够提供完善的仪器IQ、OQ验证，供应商需要提供培训，并指导和协助用户完成PQ验证，包括验证实施及验证报告撰写。</w:t>
            </w:r>
            <w:r>
              <w:rPr>
                <w:rFonts w:hint="eastAsia"/>
                <w:i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color w:val="auto"/>
                <w:szCs w:val="21"/>
                <w:lang w:eastAsia="zh-CN" w:bidi="ar"/>
              </w:rPr>
              <w:t>计量证书</w:t>
            </w:r>
            <w:r>
              <w:rPr>
                <w:rFonts w:hint="eastAsia"/>
                <w:color w:val="auto"/>
                <w:szCs w:val="21"/>
                <w:lang w:eastAsia="zh-CN" w:bidi="ar"/>
              </w:rPr>
              <w:t>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关键</w:t>
            </w:r>
          </w:p>
        </w:tc>
      </w:tr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5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default"/>
                <w:iCs w:val="0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投标方按GMP规范及仪器相关法规完成IQ、OQ工作，并提供相应文件（文件必须符合公司要求）。各验证工作开始前验证方案需经过本公司相关部门审核，并经质量保证部批准。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6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default"/>
                <w:iCs w:val="0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验证工作应按时保质完成，供应商需提供验证工作计划表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关键</w:t>
            </w:r>
          </w:p>
        </w:tc>
      </w:tr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7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default"/>
                <w:iCs w:val="0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验证项目应包含法规要求的测试项目，以及本公司提出的测试项目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8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default"/>
                <w:iCs w:val="0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验证工作完成后，验证记录经本公司相关部门审核，并经质量保证部批准。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关键</w:t>
            </w: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left="846" w:leftChars="0" w:hanging="4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9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设备保质期从确认验收文件签署之后开始计算。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0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设备质保期为一年以上，保质期内免费保修并免费更换所有配件，保质期后应提供良好的售后服务。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1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售后服务必须响应及时，要求仪器出现须厂家维修的故障后，应在4小时内明确答复，当电话沟通无法解决时，须48小时内派人至现场解决。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2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免费保修期后，厂家应终生提供及时的维修、维护，厂家应定期回访，解决仪器运行当中可能出现的疑问，排除潜在故障，使仪器保持良好工作状态。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3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aps w:val="0"/>
                <w:szCs w:val="21"/>
                <w:lang w:eastAsia="zh-CN"/>
              </w:rPr>
              <w:t>厂家应提供合格的备件，用于仪器相应部件的维修、更换。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left="846" w:leftChars="0" w:hanging="4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4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货物到达买方使用现场后，由买卖双方共同验收，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仪器安装完毕，仪器安装人员需对仪器进行调试，直至仪器正常运转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5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tabs>
                <w:tab w:val="left" w:pos="2098"/>
              </w:tabs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卖方工程师免费为买方提供调试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供应商可提供安装、调试、培训等技术支持。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供应商进厂施工需遵守安全和施工规定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确认验收合格后，买卖双方签订验收报告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5"/>
    </w:tbl>
    <w:p/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716126"/>
      <w:bookmarkStart w:id="46" w:name="_Toc522107746"/>
      <w:r>
        <w:rPr>
          <w:rFonts w:ascii="Times New Roman" w:hAnsi="Times New Roman"/>
          <w:b/>
        </w:rPr>
        <w:t>附件</w:t>
      </w:r>
      <w:bookmarkEnd w:id="45"/>
      <w:bookmarkEnd w:id="46"/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>
      <w:pPr>
        <w:pStyle w:val="41"/>
        <w:spacing w:before="0" w:line="360" w:lineRule="auto"/>
        <w:ind w:left="357"/>
        <w:jc w:val="left"/>
        <w:rPr>
          <w:color w:val="auto"/>
          <w:szCs w:val="21"/>
          <w:lang w:eastAsia="zh-CN"/>
        </w:rPr>
      </w:pPr>
      <w:permStart w:id="36" w:edGrp="everyone"/>
      <w:r>
        <w:rPr>
          <w:rFonts w:hint="eastAsia"/>
          <w:color w:val="auto"/>
          <w:szCs w:val="21"/>
          <w:lang w:eastAsia="zh-CN"/>
        </w:rPr>
        <w:t>不适用</w:t>
      </w:r>
      <w:permEnd w:id="36"/>
    </w:p>
    <w:sectPr>
      <w:footerReference r:id="rId3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2689A"/>
    <w:multiLevelType w:val="multilevel"/>
    <w:tmpl w:val="0892689A"/>
    <w:lvl w:ilvl="0" w:tentative="0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C583D"/>
    <w:multiLevelType w:val="multilevel"/>
    <w:tmpl w:val="08FC583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2">
    <w:nsid w:val="0BB07E03"/>
    <w:multiLevelType w:val="multilevel"/>
    <w:tmpl w:val="0BB07E03"/>
    <w:lvl w:ilvl="0" w:tentative="0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273409"/>
    <w:multiLevelType w:val="multilevel"/>
    <w:tmpl w:val="11273409"/>
    <w:lvl w:ilvl="0" w:tentative="0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D341CC"/>
    <w:multiLevelType w:val="multilevel"/>
    <w:tmpl w:val="16D341CC"/>
    <w:lvl w:ilvl="0" w:tentative="0">
      <w:start w:val="1"/>
      <w:numFmt w:val="decimal"/>
      <w:lvlText w:val="URS 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E85127E"/>
    <w:multiLevelType w:val="multilevel"/>
    <w:tmpl w:val="1E85127E"/>
    <w:lvl w:ilvl="0" w:tentative="0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23693724"/>
    <w:multiLevelType w:val="multilevel"/>
    <w:tmpl w:val="2369372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768E53C"/>
    <w:multiLevelType w:val="multilevel"/>
    <w:tmpl w:val="2768E53C"/>
    <w:lvl w:ilvl="0" w:tentative="0">
      <w:start w:val="1"/>
      <w:numFmt w:val="decimal"/>
      <w:lvlText w:val="11.%1"/>
      <w:lvlJc w:val="left"/>
      <w:pPr>
        <w:ind w:left="846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0B1F6D"/>
    <w:multiLevelType w:val="multilevel"/>
    <w:tmpl w:val="320B1F6D"/>
    <w:lvl w:ilvl="0" w:tentative="0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9402F4"/>
    <w:multiLevelType w:val="multilevel"/>
    <w:tmpl w:val="629402F4"/>
    <w:lvl w:ilvl="0" w:tentative="0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6546ED"/>
    <w:multiLevelType w:val="multilevel"/>
    <w:tmpl w:val="686546ED"/>
    <w:lvl w:ilvl="0" w:tentative="0">
      <w:start w:val="1"/>
      <w:numFmt w:val="decimal"/>
      <w:pStyle w:val="37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formatting="1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zMyNThhMjE2MzgwM2Q2ZmYxMmJhY2ViNDVlYzEifQ=="/>
  </w:docVars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6409"/>
    <w:rsid w:val="00686D19"/>
    <w:rsid w:val="0068777F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B90"/>
    <w:rsid w:val="0078639C"/>
    <w:rsid w:val="007913D3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E07A9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4325024"/>
    <w:rsid w:val="085613BC"/>
    <w:rsid w:val="196056B2"/>
    <w:rsid w:val="1EE01AE4"/>
    <w:rsid w:val="26345AE8"/>
    <w:rsid w:val="2AB062B4"/>
    <w:rsid w:val="301167E8"/>
    <w:rsid w:val="30D95F31"/>
    <w:rsid w:val="3F923BD9"/>
    <w:rsid w:val="4C251153"/>
    <w:rsid w:val="4DD01993"/>
    <w:rsid w:val="505256EC"/>
    <w:rsid w:val="530E6932"/>
    <w:rsid w:val="68F25ADB"/>
    <w:rsid w:val="6D994F51"/>
    <w:rsid w:val="6F17613E"/>
    <w:rsid w:val="70781894"/>
    <w:rsid w:val="70D05442"/>
    <w:rsid w:val="70DB66DA"/>
    <w:rsid w:val="768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semiHidden/>
    <w:qFormat/>
    <w:uiPriority w:val="0"/>
  </w:style>
  <w:style w:type="paragraph" w:styleId="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8">
    <w:name w:val="Body Text"/>
    <w:basedOn w:val="1"/>
    <w:qFormat/>
    <w:uiPriority w:val="0"/>
    <w:pPr>
      <w:ind w:right="56"/>
    </w:pPr>
    <w:rPr>
      <w:b/>
      <w:sz w:val="22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320"/>
        <w:tab w:val="right" w:pos="8640"/>
      </w:tabs>
    </w:pPr>
  </w:style>
  <w:style w:type="paragraph" w:styleId="14">
    <w:name w:val="header"/>
    <w:basedOn w:val="1"/>
    <w:link w:val="26"/>
    <w:qFormat/>
    <w:uiPriority w:val="0"/>
    <w:pPr>
      <w:tabs>
        <w:tab w:val="center" w:pos="4320"/>
        <w:tab w:val="right" w:pos="8640"/>
      </w:tabs>
    </w:pPr>
  </w:style>
  <w:style w:type="paragraph" w:styleId="15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overflowPunct/>
      <w:autoSpaceDE/>
      <w:autoSpaceDN/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6">
    <w:name w:val="toc 2"/>
    <w:basedOn w:val="1"/>
    <w:next w:val="1"/>
    <w:qFormat/>
    <w:uiPriority w:val="39"/>
    <w:pPr>
      <w:widowControl w:val="0"/>
      <w:tabs>
        <w:tab w:val="right" w:leader="dot" w:pos="8302"/>
      </w:tabs>
      <w:overflowPunct/>
      <w:autoSpaceDE/>
      <w:autoSpaceDN/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7">
    <w:name w:val="Title"/>
    <w:basedOn w:val="1"/>
    <w:next w:val="1"/>
    <w:link w:val="44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8">
    <w:name w:val="annotation subject"/>
    <w:basedOn w:val="6"/>
    <w:next w:val="6"/>
    <w:semiHidden/>
    <w:qFormat/>
    <w:uiPriority w:val="0"/>
    <w:rPr>
      <w:b/>
      <w:bCs/>
    </w:rPr>
  </w:style>
  <w:style w:type="table" w:styleId="20">
    <w:name w:val="Table Grid"/>
    <w:basedOn w:val="19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paragraph" w:customStyle="1" w:styleId="25">
    <w:name w:val="Table"/>
    <w:basedOn w:val="1"/>
    <w:qFormat/>
    <w:uiPriority w:val="0"/>
    <w:pPr>
      <w:keepLines/>
      <w:tabs>
        <w:tab w:val="left" w:pos="284"/>
      </w:tabs>
      <w:overflowPunct/>
      <w:autoSpaceDE/>
      <w:autoSpaceDN/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character" w:customStyle="1" w:styleId="26">
    <w:name w:val="页眉 Char2"/>
    <w:link w:val="14"/>
    <w:qFormat/>
    <w:uiPriority w:val="0"/>
    <w:rPr>
      <w:rFonts w:eastAsia="宋体"/>
      <w:sz w:val="24"/>
      <w:lang w:val="en-GB" w:eastAsia="en-US" w:bidi="ar-SA"/>
    </w:rPr>
  </w:style>
  <w:style w:type="paragraph" w:customStyle="1" w:styleId="27">
    <w:name w:val="Default Text"/>
    <w:basedOn w:val="1"/>
    <w:qFormat/>
    <w:uiPriority w:val="0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28">
    <w:name w:val="Style"/>
    <w:basedOn w:val="1"/>
    <w:qFormat/>
    <w:uiPriority w:val="0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29">
    <w:name w:val="正文1"/>
    <w:basedOn w:val="1"/>
    <w:qFormat/>
    <w:uiPriority w:val="0"/>
    <w:pPr>
      <w:overflowPunct/>
      <w:textAlignment w:val="auto"/>
    </w:pPr>
    <w:rPr>
      <w:rFonts w:ascii="Arial" w:hAnsi="Arial"/>
      <w:sz w:val="20"/>
      <w:lang w:val="en-US"/>
    </w:rPr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sz w:val="24"/>
      <w:lang w:val="en-GB" w:eastAsia="en-US" w:bidi="ar-SA"/>
    </w:rPr>
  </w:style>
  <w:style w:type="paragraph" w:styleId="31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character" w:customStyle="1" w:styleId="32">
    <w:name w:val="批注文字 Char"/>
    <w:link w:val="6"/>
    <w:semiHidden/>
    <w:qFormat/>
    <w:uiPriority w:val="0"/>
    <w:rPr>
      <w:sz w:val="24"/>
      <w:lang w:val="en-GB" w:eastAsia="en-US"/>
    </w:rPr>
  </w:style>
  <w:style w:type="paragraph" w:customStyle="1" w:styleId="33">
    <w:name w:val="TOC Heading"/>
    <w:basedOn w:val="2"/>
    <w:next w:val="1"/>
    <w:qFormat/>
    <w:uiPriority w:val="39"/>
    <w:pPr>
      <w:numPr>
        <w:numId w:val="0"/>
      </w:numPr>
      <w:outlineLvl w:val="9"/>
    </w:pPr>
  </w:style>
  <w:style w:type="character" w:customStyle="1" w:styleId="34">
    <w:name w:val="页脚 Char"/>
    <w:link w:val="13"/>
    <w:qFormat/>
    <w:uiPriority w:val="99"/>
    <w:rPr>
      <w:sz w:val="24"/>
      <w:lang w:val="en-GB" w:eastAsia="en-US"/>
    </w:rPr>
  </w:style>
  <w:style w:type="character" w:customStyle="1" w:styleId="35">
    <w:name w:val="instruction standard blue"/>
    <w:qFormat/>
    <w:uiPriority w:val="1"/>
    <w:rPr>
      <w:rFonts w:cs="Arial"/>
      <w:i/>
      <w:color w:val="0070C0"/>
    </w:rPr>
  </w:style>
  <w:style w:type="character" w:customStyle="1" w:styleId="36">
    <w:name w:val="keyword"/>
    <w:basedOn w:val="21"/>
    <w:qFormat/>
    <w:uiPriority w:val="0"/>
  </w:style>
  <w:style w:type="paragraph" w:customStyle="1" w:styleId="37">
    <w:name w:val="numbering blue"/>
    <w:basedOn w:val="1"/>
    <w:link w:val="38"/>
    <w:qFormat/>
    <w:uiPriority w:val="0"/>
    <w:pPr>
      <w:numPr>
        <w:ilvl w:val="0"/>
        <w:numId w:val="2"/>
      </w:numPr>
      <w:overflowPunct/>
      <w:autoSpaceDE/>
      <w:autoSpaceDN/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character" w:customStyle="1" w:styleId="38">
    <w:name w:val="numbering blue Zchn"/>
    <w:link w:val="37"/>
    <w:qFormat/>
    <w:uiPriority w:val="0"/>
    <w:rPr>
      <w:rFonts w:ascii="Arial" w:hAnsi="Arial" w:eastAsia="PMingLiU"/>
      <w:color w:val="0070C0"/>
      <w:lang w:eastAsia="zh-TW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character" w:customStyle="1" w:styleId="40">
    <w:name w:val="Text Char"/>
    <w:link w:val="41"/>
    <w:qFormat/>
    <w:locked/>
    <w:uiPriority w:val="0"/>
    <w:rPr>
      <w:sz w:val="24"/>
      <w:lang w:eastAsia="en-US"/>
    </w:rPr>
  </w:style>
  <w:style w:type="paragraph" w:customStyle="1" w:styleId="41">
    <w:name w:val="Text"/>
    <w:basedOn w:val="1"/>
    <w:link w:val="40"/>
    <w:qFormat/>
    <w:uiPriority w:val="0"/>
    <w:pPr>
      <w:overflowPunct/>
      <w:autoSpaceDE/>
      <w:autoSpaceDN/>
      <w:adjustRightInd/>
      <w:spacing w:before="120"/>
      <w:jc w:val="both"/>
      <w:textAlignment w:val="auto"/>
    </w:pPr>
    <w:rPr>
      <w:lang w:val="en-US"/>
    </w:rPr>
  </w:style>
  <w:style w:type="character" w:customStyle="1" w:styleId="42">
    <w:name w:val="ordinary-span-edit2"/>
    <w:qFormat/>
    <w:uiPriority w:val="0"/>
  </w:style>
  <w:style w:type="character" w:customStyle="1" w:styleId="43">
    <w:name w:val="apple-converted-space"/>
    <w:basedOn w:val="21"/>
    <w:qFormat/>
    <w:uiPriority w:val="0"/>
  </w:style>
  <w:style w:type="character" w:customStyle="1" w:styleId="44">
    <w:name w:val="标题 Char"/>
    <w:link w:val="17"/>
    <w:qFormat/>
    <w:uiPriority w:val="0"/>
    <w:rPr>
      <w:rFonts w:ascii="Calibri Light" w:hAnsi="Calibri Light" w:cs="Times New Roman"/>
      <w:b/>
      <w:bCs/>
      <w:sz w:val="32"/>
      <w:szCs w:val="32"/>
      <w:lang w:val="en-GB" w:eastAsia="en-US"/>
    </w:rPr>
  </w:style>
  <w:style w:type="paragraph" w:customStyle="1" w:styleId="45">
    <w:name w:val="Table text"/>
    <w:basedOn w:val="1"/>
    <w:qFormat/>
    <w:uiPriority w:val="0"/>
    <w:pPr>
      <w:overflowPunct/>
      <w:autoSpaceDE/>
      <w:autoSpaceDN/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46">
    <w:name w:val="Footer Char"/>
    <w:basedOn w:val="21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3176</Words>
  <Characters>3377</Characters>
  <Lines>29</Lines>
  <Paragraphs>8</Paragraphs>
  <TotalTime>98</TotalTime>
  <ScaleCrop>false</ScaleCrop>
  <LinksUpToDate>false</LinksUpToDate>
  <CharactersWithSpaces>3454</CharactersWithSpaces>
  <Application>WPS Office_11.8.2.10229_F1E327BC-269C-435d-A152-05C5408002CA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2018-12-24T07:58:00Z</dcterms:created>
  <dc:creator>Lilly</dc:creator>
  <cp:lastModifiedBy>汪洋</cp:lastModifiedBy>
  <cp:lastPrinted>2025-08-07T01:01:00Z</cp:lastPrinted>
  <dcterms:modified xsi:type="dcterms:W3CDTF">2025-08-22T07:38:33Z</dcterms:modified>
  <dc:title>生效期：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D2A6334C49744D15A655C3319D8FAA85_13</vt:lpwstr>
  </property>
  <property fmtid="{D5CDD505-2E9C-101B-9397-08002B2CF9AE}" pid="4" name="KSOTemplateDocerSaveRecord">
    <vt:lpwstr>eyJoZGlkIjoiNmNkZWQyMDA5Y2IyZGQ4NGZlMWZmNWExOTI4ZDI2ZDgiLCJ1c2VySWQiOiI4NzI5MTIxMDEifQ==</vt:lpwstr>
  </property>
</Properties>
</file>